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54C1B" w14:textId="070472EB" w:rsidR="0060416C" w:rsidRPr="00B94AF3" w:rsidRDefault="00A32423" w:rsidP="00A32423">
      <w:pPr>
        <w:jc w:val="center"/>
        <w:rPr>
          <w:rFonts w:ascii="Times New Roman" w:hAnsi="Times New Roman" w:cs="Times New Roman"/>
          <w:b/>
          <w:sz w:val="22"/>
          <w:szCs w:val="22"/>
        </w:rPr>
      </w:pPr>
      <w:r>
        <w:rPr>
          <w:rFonts w:ascii="Times New Roman" w:hAnsi="Times New Roman" w:cs="Times New Roman"/>
          <w:b/>
          <w:sz w:val="22"/>
          <w:szCs w:val="22"/>
        </w:rPr>
        <w:t>N</w:t>
      </w:r>
      <w:r w:rsidR="0060416C">
        <w:rPr>
          <w:rFonts w:ascii="Times New Roman" w:hAnsi="Times New Roman" w:cs="Times New Roman"/>
          <w:b/>
          <w:sz w:val="22"/>
          <w:szCs w:val="22"/>
        </w:rPr>
        <w:t>on-covalent and covalen</w:t>
      </w:r>
      <w:r>
        <w:rPr>
          <w:rFonts w:ascii="Times New Roman" w:hAnsi="Times New Roman" w:cs="Times New Roman"/>
          <w:b/>
          <w:sz w:val="22"/>
          <w:szCs w:val="22"/>
        </w:rPr>
        <w:t>t</w:t>
      </w:r>
      <w:r w:rsidR="0060416C">
        <w:rPr>
          <w:rFonts w:ascii="Times New Roman" w:hAnsi="Times New Roman" w:cs="Times New Roman"/>
          <w:b/>
          <w:sz w:val="22"/>
          <w:szCs w:val="22"/>
        </w:rPr>
        <w:t xml:space="preserve"> ligands</w:t>
      </w:r>
      <w:r w:rsidR="007B7B6A" w:rsidRPr="007B7B6A">
        <w:rPr>
          <w:rFonts w:ascii="Times New Roman" w:hAnsi="Times New Roman" w:cs="Times New Roman"/>
          <w:b/>
          <w:sz w:val="22"/>
          <w:szCs w:val="22"/>
        </w:rPr>
        <w:t xml:space="preserve"> </w:t>
      </w:r>
      <w:r w:rsidR="007B7B6A">
        <w:rPr>
          <w:rFonts w:ascii="Times New Roman" w:hAnsi="Times New Roman" w:cs="Times New Roman"/>
          <w:b/>
          <w:sz w:val="22"/>
          <w:szCs w:val="22"/>
        </w:rPr>
        <w:t xml:space="preserve">to target G-quadruplex secondary </w:t>
      </w:r>
      <w:proofErr w:type="gramStart"/>
      <w:r w:rsidR="007B7B6A">
        <w:rPr>
          <w:rFonts w:ascii="Times New Roman" w:hAnsi="Times New Roman" w:cs="Times New Roman"/>
          <w:b/>
          <w:sz w:val="22"/>
          <w:szCs w:val="22"/>
        </w:rPr>
        <w:t>structures</w:t>
      </w:r>
      <w:proofErr w:type="gramEnd"/>
    </w:p>
    <w:p w14:paraId="1F4551C5" w14:textId="77777777" w:rsidR="0060416C" w:rsidRPr="00B94AF3" w:rsidRDefault="0060416C" w:rsidP="0060416C">
      <w:pPr>
        <w:jc w:val="center"/>
        <w:rPr>
          <w:rFonts w:ascii="Times New Roman" w:hAnsi="Times New Roman" w:cs="Times New Roman"/>
          <w:b/>
          <w:sz w:val="22"/>
          <w:szCs w:val="22"/>
        </w:rPr>
      </w:pPr>
    </w:p>
    <w:p w14:paraId="415EC19E" w14:textId="77777777" w:rsidR="0060416C" w:rsidRPr="00B94AF3" w:rsidRDefault="0060416C" w:rsidP="0060416C">
      <w:pPr>
        <w:jc w:val="center"/>
        <w:rPr>
          <w:rFonts w:ascii="Times New Roman" w:hAnsi="Times New Roman" w:cs="Times New Roman"/>
          <w:sz w:val="22"/>
          <w:szCs w:val="22"/>
          <w:lang w:val="en-GB"/>
        </w:rPr>
      </w:pPr>
      <w:r w:rsidRPr="00B94AF3">
        <w:rPr>
          <w:rFonts w:ascii="Times New Roman" w:hAnsi="Times New Roman" w:cs="Times New Roman"/>
          <w:sz w:val="22"/>
          <w:szCs w:val="22"/>
          <w:lang w:val="en-GB"/>
        </w:rPr>
        <w:t xml:space="preserve">Daniela </w:t>
      </w:r>
      <w:proofErr w:type="spellStart"/>
      <w:proofErr w:type="gramStart"/>
      <w:r w:rsidRPr="00B94AF3">
        <w:rPr>
          <w:rFonts w:ascii="Times New Roman" w:hAnsi="Times New Roman" w:cs="Times New Roman"/>
          <w:sz w:val="22"/>
          <w:szCs w:val="22"/>
          <w:lang w:val="en-GB"/>
        </w:rPr>
        <w:t>Verga</w:t>
      </w:r>
      <w:r w:rsidRPr="00CE032C">
        <w:rPr>
          <w:rFonts w:ascii="Times New Roman" w:hAnsi="Times New Roman" w:cs="Times New Roman"/>
          <w:sz w:val="22"/>
          <w:szCs w:val="22"/>
          <w:vertAlign w:val="superscript"/>
          <w:lang w:val="en-GB"/>
        </w:rPr>
        <w:t>a,b</w:t>
      </w:r>
      <w:proofErr w:type="spellEnd"/>
      <w:proofErr w:type="gramEnd"/>
    </w:p>
    <w:p w14:paraId="6B369613" w14:textId="77777777" w:rsidR="0060416C" w:rsidRPr="00B94AF3" w:rsidRDefault="0060416C" w:rsidP="0060416C">
      <w:pPr>
        <w:jc w:val="center"/>
        <w:rPr>
          <w:rFonts w:ascii="Times New Roman" w:hAnsi="Times New Roman" w:cs="Times New Roman"/>
          <w:i/>
          <w:sz w:val="22"/>
          <w:szCs w:val="22"/>
          <w:highlight w:val="yellow"/>
          <w:lang w:val="en-GB"/>
        </w:rPr>
      </w:pPr>
    </w:p>
    <w:p w14:paraId="28284247" w14:textId="77777777" w:rsidR="0060416C" w:rsidRPr="00B94AF3" w:rsidRDefault="0060416C" w:rsidP="0060416C">
      <w:pPr>
        <w:jc w:val="center"/>
        <w:rPr>
          <w:rFonts w:ascii="Times New Roman" w:hAnsi="Times New Roman" w:cs="Times New Roman"/>
          <w:i/>
          <w:sz w:val="22"/>
          <w:szCs w:val="22"/>
          <w:lang w:val="en-GB"/>
        </w:rPr>
      </w:pPr>
      <w:r w:rsidRPr="00B94AF3">
        <w:rPr>
          <w:rFonts w:ascii="Times New Roman" w:hAnsi="Times New Roman" w:cs="Times New Roman"/>
          <w:i/>
          <w:sz w:val="22"/>
          <w:szCs w:val="22"/>
        </w:rPr>
        <w:t xml:space="preserve">a) CNRS UMR9187, INSERM U1196, </w:t>
      </w:r>
      <w:proofErr w:type="spellStart"/>
      <w:r w:rsidRPr="00B94AF3">
        <w:rPr>
          <w:rFonts w:ascii="Times New Roman" w:hAnsi="Times New Roman" w:cs="Times New Roman"/>
          <w:i/>
          <w:sz w:val="22"/>
          <w:szCs w:val="22"/>
        </w:rPr>
        <w:t>Institut</w:t>
      </w:r>
      <w:proofErr w:type="spellEnd"/>
      <w:r w:rsidRPr="00B94AF3">
        <w:rPr>
          <w:rFonts w:ascii="Times New Roman" w:hAnsi="Times New Roman" w:cs="Times New Roman"/>
          <w:i/>
          <w:sz w:val="22"/>
          <w:szCs w:val="22"/>
        </w:rPr>
        <w:t xml:space="preserve"> Curie, PSL Research University, 91405, Orsay, France; </w:t>
      </w:r>
      <w:r w:rsidRPr="00B94AF3">
        <w:rPr>
          <w:rFonts w:ascii="Times New Roman" w:hAnsi="Times New Roman" w:cs="Times New Roman"/>
          <w:i/>
          <w:sz w:val="22"/>
          <w:szCs w:val="22"/>
          <w:lang w:val="en-GB"/>
        </w:rPr>
        <w:t>b) CNRS UMR9187, INSERM U1196, Université Paris-</w:t>
      </w:r>
      <w:proofErr w:type="spellStart"/>
      <w:r w:rsidRPr="00B94AF3">
        <w:rPr>
          <w:rFonts w:ascii="Times New Roman" w:hAnsi="Times New Roman" w:cs="Times New Roman"/>
          <w:i/>
          <w:sz w:val="22"/>
          <w:szCs w:val="22"/>
          <w:lang w:val="en-GB"/>
        </w:rPr>
        <w:t>Saclay</w:t>
      </w:r>
      <w:proofErr w:type="spellEnd"/>
      <w:r w:rsidRPr="00B94AF3">
        <w:rPr>
          <w:rFonts w:ascii="Times New Roman" w:hAnsi="Times New Roman" w:cs="Times New Roman"/>
          <w:i/>
          <w:sz w:val="22"/>
          <w:szCs w:val="22"/>
          <w:lang w:val="en-GB"/>
        </w:rPr>
        <w:t>, 91405, Orsay, France</w:t>
      </w:r>
    </w:p>
    <w:p w14:paraId="2B835C82" w14:textId="77777777" w:rsidR="0060416C" w:rsidRPr="00B94AF3" w:rsidRDefault="0060416C" w:rsidP="0060416C">
      <w:pPr>
        <w:rPr>
          <w:rFonts w:ascii="Times New Roman" w:hAnsi="Times New Roman" w:cs="Times New Roman"/>
          <w:sz w:val="22"/>
          <w:szCs w:val="22"/>
          <w:lang w:val="en-GB"/>
        </w:rPr>
      </w:pPr>
    </w:p>
    <w:p w14:paraId="6980C256" w14:textId="77777777" w:rsidR="0060416C" w:rsidRPr="00B94AF3" w:rsidRDefault="0060416C" w:rsidP="0060416C">
      <w:pPr>
        <w:rPr>
          <w:rFonts w:ascii="Times New Roman" w:hAnsi="Times New Roman" w:cs="Times New Roman"/>
          <w:sz w:val="22"/>
          <w:szCs w:val="22"/>
          <w:lang w:val="en-GB"/>
        </w:rPr>
      </w:pPr>
    </w:p>
    <w:p w14:paraId="0BAC58A7" w14:textId="77777777" w:rsidR="0060416C" w:rsidRPr="00B94AF3" w:rsidRDefault="0060416C" w:rsidP="0060416C">
      <w:pPr>
        <w:jc w:val="both"/>
        <w:rPr>
          <w:rFonts w:ascii="Times New Roman" w:hAnsi="Times New Roman" w:cs="Times New Roman"/>
          <w:sz w:val="22"/>
          <w:szCs w:val="22"/>
          <w:lang w:val="en-GB"/>
        </w:rPr>
      </w:pPr>
      <w:r w:rsidRPr="00B94AF3">
        <w:rPr>
          <w:rFonts w:ascii="Times New Roman" w:hAnsi="Times New Roman" w:cs="Times New Roman"/>
          <w:sz w:val="22"/>
          <w:szCs w:val="22"/>
          <w:lang w:val="en-GB"/>
        </w:rPr>
        <w:t>DNA and RNA containing runs of 3 or 4 adjacent guanines may spontaneously arrange into four-stranded DNA supramolecular structures called G-quadruplexes (G4).</w:t>
      </w:r>
      <w:r w:rsidRPr="00B94AF3">
        <w:rPr>
          <w:rFonts w:ascii="Times New Roman" w:hAnsi="Times New Roman" w:cs="Times New Roman"/>
          <w:sz w:val="22"/>
          <w:szCs w:val="22"/>
          <w:vertAlign w:val="superscript"/>
          <w:lang w:val="en-GB"/>
        </w:rPr>
        <w:t>1</w:t>
      </w:r>
      <w:r w:rsidRPr="00B94AF3">
        <w:rPr>
          <w:rFonts w:ascii="Times New Roman" w:hAnsi="Times New Roman" w:cs="Times New Roman"/>
          <w:sz w:val="22"/>
          <w:szCs w:val="22"/>
          <w:lang w:val="en-GB"/>
        </w:rPr>
        <w:t xml:space="preserve"> These non-canonical structures are likely to form in G-rich regions throughout the genome and thus are assumed to have functional roles in key biological processes, </w:t>
      </w:r>
      <w:r w:rsidRPr="00B94AF3">
        <w:rPr>
          <w:rFonts w:ascii="Times New Roman" w:hAnsi="Times New Roman" w:cs="Times New Roman"/>
          <w:sz w:val="22"/>
          <w:szCs w:val="22"/>
        </w:rPr>
        <w:t>such as replication, transcription, repair, and recombination,</w:t>
      </w:r>
      <w:r w:rsidRPr="00B94AF3">
        <w:rPr>
          <w:rFonts w:ascii="Times New Roman" w:hAnsi="Times New Roman" w:cs="Times New Roman"/>
          <w:sz w:val="22"/>
          <w:szCs w:val="22"/>
          <w:vertAlign w:val="superscript"/>
        </w:rPr>
        <w:t>2</w:t>
      </w:r>
      <w:r w:rsidRPr="00B94AF3">
        <w:rPr>
          <w:rFonts w:ascii="Times New Roman" w:hAnsi="Times New Roman" w:cs="Times New Roman"/>
          <w:sz w:val="22"/>
          <w:szCs w:val="22"/>
        </w:rPr>
        <w:t xml:space="preserve"> and thereby they represent potential barriers for the enzymatic machineries involved in these processes</w:t>
      </w:r>
      <w:r w:rsidRPr="00B94AF3">
        <w:rPr>
          <w:rFonts w:ascii="Times New Roman" w:hAnsi="Times New Roman" w:cs="Times New Roman"/>
          <w:sz w:val="22"/>
          <w:szCs w:val="22"/>
          <w:lang w:val="en-GB"/>
        </w:rPr>
        <w:t xml:space="preserve">. However, the dynamic nature of these structures makes their identification in live cells extremely challenging; therefore, G4 actual formation </w:t>
      </w:r>
      <w:r w:rsidRPr="00B94AF3">
        <w:rPr>
          <w:rFonts w:ascii="Times New Roman" w:hAnsi="Times New Roman" w:cs="Times New Roman"/>
          <w:i/>
          <w:sz w:val="22"/>
          <w:szCs w:val="22"/>
          <w:lang w:val="en-GB"/>
        </w:rPr>
        <w:t>in vivo</w:t>
      </w:r>
      <w:r w:rsidRPr="00B94AF3">
        <w:rPr>
          <w:rFonts w:ascii="Times New Roman" w:hAnsi="Times New Roman" w:cs="Times New Roman"/>
          <w:sz w:val="22"/>
          <w:szCs w:val="22"/>
          <w:lang w:val="en-GB"/>
        </w:rPr>
        <w:t xml:space="preserve"> is still a matter of debate. G4 can be stabilized by small synthetic molecules (G4 ligands),</w:t>
      </w:r>
      <w:r w:rsidRPr="00B94AF3">
        <w:rPr>
          <w:rFonts w:ascii="Times New Roman" w:hAnsi="Times New Roman" w:cs="Times New Roman"/>
          <w:sz w:val="22"/>
          <w:szCs w:val="22"/>
          <w:vertAlign w:val="superscript"/>
          <w:lang w:val="en-GB"/>
        </w:rPr>
        <w:t>3</w:t>
      </w:r>
      <w:r w:rsidRPr="00B94AF3">
        <w:rPr>
          <w:rFonts w:ascii="Times New Roman" w:hAnsi="Times New Roman" w:cs="Times New Roman"/>
          <w:sz w:val="22"/>
          <w:szCs w:val="22"/>
          <w:lang w:val="en-GB"/>
        </w:rPr>
        <w:t xml:space="preserve"> h</w:t>
      </w:r>
      <w:proofErr w:type="spellStart"/>
      <w:r w:rsidRPr="00B94AF3">
        <w:rPr>
          <w:rFonts w:ascii="Times New Roman" w:hAnsi="Times New Roman" w:cs="Times New Roman"/>
          <w:sz w:val="22"/>
          <w:szCs w:val="22"/>
        </w:rPr>
        <w:t>ence</w:t>
      </w:r>
      <w:proofErr w:type="spellEnd"/>
      <w:r w:rsidRPr="00B94AF3">
        <w:rPr>
          <w:rFonts w:ascii="Times New Roman" w:hAnsi="Times New Roman" w:cs="Times New Roman"/>
          <w:sz w:val="22"/>
          <w:szCs w:val="22"/>
        </w:rPr>
        <w:t>, the latter represent a new family of DNA drugs assumed to act region selectively at specific genomic G-rich loci including telomeres, oncogene promoters, tandem mini satellites that have higher propensity to generate quadruplexes.</w:t>
      </w:r>
      <w:r w:rsidRPr="00B94AF3">
        <w:rPr>
          <w:rFonts w:ascii="Times New Roman" w:hAnsi="Times New Roman" w:cs="Times New Roman"/>
          <w:sz w:val="22"/>
          <w:szCs w:val="22"/>
          <w:vertAlign w:val="superscript"/>
        </w:rPr>
        <w:t>4</w:t>
      </w:r>
      <w:r w:rsidRPr="00B94AF3">
        <w:rPr>
          <w:rFonts w:ascii="Times New Roman" w:hAnsi="Times New Roman" w:cs="Times New Roman"/>
          <w:sz w:val="22"/>
          <w:szCs w:val="22"/>
        </w:rPr>
        <w:t xml:space="preserve"> </w:t>
      </w:r>
      <w:r w:rsidRPr="00B94AF3">
        <w:rPr>
          <w:rFonts w:ascii="Times New Roman" w:hAnsi="Times New Roman" w:cs="Times New Roman"/>
          <w:sz w:val="22"/>
          <w:szCs w:val="22"/>
          <w:lang w:val="en-GB"/>
        </w:rPr>
        <w:t xml:space="preserve">In general, G4 ligands do not display acute cytotoxicity and produce diverse cellular effects, suggesting that targeting of genomic G4 is characterized by different accessibility. Consequently, it is highly important to follow G4 ligand distribution in cells and </w:t>
      </w:r>
      <w:proofErr w:type="gramStart"/>
      <w:r w:rsidRPr="00B94AF3">
        <w:rPr>
          <w:rFonts w:ascii="Times New Roman" w:hAnsi="Times New Roman" w:cs="Times New Roman"/>
          <w:sz w:val="22"/>
          <w:szCs w:val="22"/>
          <w:lang w:val="en-GB"/>
        </w:rPr>
        <w:t>identify precisely</w:t>
      </w:r>
      <w:proofErr w:type="gramEnd"/>
      <w:r w:rsidRPr="00B94AF3">
        <w:rPr>
          <w:rFonts w:ascii="Times New Roman" w:hAnsi="Times New Roman" w:cs="Times New Roman"/>
          <w:sz w:val="22"/>
          <w:szCs w:val="22"/>
          <w:lang w:val="en-GB"/>
        </w:rPr>
        <w:t xml:space="preserve"> their binding sites genome-wide; this knowledge will enhance understanding in regard to characterization and exploitation of drug responses. These objectives will be achieved by the construction of specifically tagged G4-selective small molecules that will act as molecular reporters enabling visualization of G4</w:t>
      </w:r>
      <w:r>
        <w:rPr>
          <w:rFonts w:ascii="Times New Roman" w:hAnsi="Times New Roman" w:cs="Times New Roman"/>
          <w:sz w:val="22"/>
          <w:szCs w:val="22"/>
          <w:lang w:val="en-GB"/>
        </w:rPr>
        <w:t xml:space="preserve"> in cells</w:t>
      </w:r>
      <w:r w:rsidRPr="00B94AF3">
        <w:rPr>
          <w:rFonts w:ascii="Times New Roman" w:hAnsi="Times New Roman" w:cs="Times New Roman"/>
          <w:sz w:val="22"/>
          <w:szCs w:val="22"/>
          <w:vertAlign w:val="superscript"/>
          <w:lang w:val="en-GB"/>
        </w:rPr>
        <w:t>5</w:t>
      </w:r>
      <w:r w:rsidRPr="00FB6FF5">
        <w:rPr>
          <w:rFonts w:ascii="Times New Roman" w:hAnsi="Times New Roman" w:cs="Times New Roman"/>
          <w:sz w:val="22"/>
          <w:szCs w:val="22"/>
          <w:vertAlign w:val="superscript"/>
          <w:lang w:val="en-GB"/>
        </w:rPr>
        <w:t>,</w:t>
      </w:r>
      <w:r w:rsidRPr="00B94AF3">
        <w:rPr>
          <w:rFonts w:ascii="Times New Roman" w:hAnsi="Times New Roman" w:cs="Times New Roman"/>
          <w:sz w:val="22"/>
          <w:szCs w:val="22"/>
          <w:vertAlign w:val="superscript"/>
          <w:lang w:val="en-GB"/>
        </w:rPr>
        <w:t>6</w:t>
      </w:r>
      <w:r w:rsidRPr="00B94AF3">
        <w:rPr>
          <w:rFonts w:ascii="Times New Roman" w:hAnsi="Times New Roman" w:cs="Times New Roman"/>
          <w:sz w:val="22"/>
          <w:szCs w:val="22"/>
          <w:lang w:val="en-GB"/>
        </w:rPr>
        <w:t xml:space="preserve"> and photoactivatable covalent agents.</w:t>
      </w:r>
      <w:r w:rsidRPr="00B94AF3">
        <w:rPr>
          <w:rFonts w:ascii="Times New Roman" w:hAnsi="Times New Roman" w:cs="Times New Roman"/>
          <w:sz w:val="22"/>
          <w:szCs w:val="22"/>
          <w:vertAlign w:val="superscript"/>
          <w:lang w:val="en-GB"/>
        </w:rPr>
        <w:t>7</w:t>
      </w:r>
    </w:p>
    <w:p w14:paraId="6DD1B85C" w14:textId="77777777" w:rsidR="0060416C" w:rsidRPr="00B94AF3" w:rsidRDefault="0060416C" w:rsidP="0060416C">
      <w:pPr>
        <w:rPr>
          <w:rFonts w:ascii="Times New Roman" w:hAnsi="Times New Roman" w:cs="Times New Roman"/>
          <w:sz w:val="22"/>
          <w:szCs w:val="22"/>
        </w:rPr>
      </w:pPr>
    </w:p>
    <w:p w14:paraId="219A9C62" w14:textId="77777777" w:rsidR="0060416C" w:rsidRPr="00B94AF3" w:rsidRDefault="0060416C" w:rsidP="0060416C">
      <w:pPr>
        <w:rPr>
          <w:rFonts w:ascii="Times New Roman" w:hAnsi="Times New Roman" w:cs="Times New Roman"/>
          <w:sz w:val="22"/>
          <w:szCs w:val="22"/>
        </w:rPr>
      </w:pPr>
    </w:p>
    <w:p w14:paraId="436E11ED" w14:textId="77777777" w:rsidR="0060416C" w:rsidRPr="00B94AF3" w:rsidRDefault="0060416C" w:rsidP="0060416C">
      <w:pPr>
        <w:rPr>
          <w:rFonts w:ascii="Times New Roman" w:hAnsi="Times New Roman" w:cs="Times New Roman"/>
          <w:sz w:val="22"/>
          <w:szCs w:val="22"/>
        </w:rPr>
      </w:pPr>
    </w:p>
    <w:p w14:paraId="70B27F05" w14:textId="77777777" w:rsidR="0060416C" w:rsidRPr="00B94AF3" w:rsidRDefault="0060416C" w:rsidP="0060416C">
      <w:pPr>
        <w:rPr>
          <w:rFonts w:ascii="Times New Roman" w:hAnsi="Times New Roman" w:cs="Times New Roman"/>
          <w:sz w:val="22"/>
          <w:szCs w:val="22"/>
        </w:rPr>
      </w:pPr>
    </w:p>
    <w:p w14:paraId="0ABFDF6D" w14:textId="77777777" w:rsidR="0060416C" w:rsidRPr="00B94AF3" w:rsidRDefault="0060416C" w:rsidP="0060416C">
      <w:pPr>
        <w:rPr>
          <w:rFonts w:ascii="Times New Roman" w:hAnsi="Times New Roman" w:cs="Times New Roman"/>
          <w:sz w:val="22"/>
          <w:szCs w:val="22"/>
        </w:rPr>
      </w:pPr>
    </w:p>
    <w:p w14:paraId="7DEB0EC4" w14:textId="77777777" w:rsidR="0060416C" w:rsidRPr="00B94AF3" w:rsidRDefault="0060416C" w:rsidP="0060416C">
      <w:pPr>
        <w:rPr>
          <w:rFonts w:ascii="Times New Roman" w:hAnsi="Times New Roman" w:cs="Times New Roman"/>
          <w:sz w:val="22"/>
          <w:szCs w:val="22"/>
        </w:rPr>
      </w:pPr>
    </w:p>
    <w:p w14:paraId="3DA281EB" w14:textId="77777777" w:rsidR="0060416C" w:rsidRPr="00B94AF3" w:rsidRDefault="0060416C" w:rsidP="0060416C">
      <w:pPr>
        <w:rPr>
          <w:rFonts w:ascii="Times New Roman" w:hAnsi="Times New Roman" w:cs="Times New Roman"/>
          <w:sz w:val="22"/>
          <w:szCs w:val="22"/>
        </w:rPr>
      </w:pPr>
    </w:p>
    <w:p w14:paraId="1E5EF302" w14:textId="77777777" w:rsidR="0060416C" w:rsidRDefault="0060416C" w:rsidP="0060416C">
      <w:pPr>
        <w:rPr>
          <w:rFonts w:ascii="Times New Roman" w:hAnsi="Times New Roman" w:cs="Times New Roman"/>
          <w:sz w:val="22"/>
          <w:szCs w:val="22"/>
        </w:rPr>
      </w:pPr>
    </w:p>
    <w:p w14:paraId="3B9D5703" w14:textId="77777777" w:rsidR="0060416C" w:rsidRDefault="0060416C" w:rsidP="0060416C">
      <w:pPr>
        <w:rPr>
          <w:rFonts w:ascii="Times New Roman" w:hAnsi="Times New Roman" w:cs="Times New Roman"/>
          <w:sz w:val="22"/>
          <w:szCs w:val="22"/>
        </w:rPr>
      </w:pPr>
    </w:p>
    <w:p w14:paraId="1E1FEC47" w14:textId="77777777" w:rsidR="0060416C" w:rsidRDefault="0060416C" w:rsidP="0060416C">
      <w:pPr>
        <w:rPr>
          <w:rFonts w:ascii="Times New Roman" w:hAnsi="Times New Roman" w:cs="Times New Roman"/>
          <w:sz w:val="22"/>
          <w:szCs w:val="22"/>
        </w:rPr>
      </w:pPr>
    </w:p>
    <w:p w14:paraId="49B81FA2" w14:textId="77777777" w:rsidR="0060416C" w:rsidRDefault="0060416C" w:rsidP="0060416C">
      <w:pPr>
        <w:rPr>
          <w:rFonts w:ascii="Times New Roman" w:hAnsi="Times New Roman" w:cs="Times New Roman"/>
          <w:sz w:val="22"/>
          <w:szCs w:val="22"/>
        </w:rPr>
      </w:pPr>
    </w:p>
    <w:p w14:paraId="37A25A66" w14:textId="77777777" w:rsidR="0060416C" w:rsidRDefault="0060416C" w:rsidP="0060416C">
      <w:pPr>
        <w:rPr>
          <w:rFonts w:ascii="Times New Roman" w:hAnsi="Times New Roman" w:cs="Times New Roman"/>
          <w:sz w:val="22"/>
          <w:szCs w:val="22"/>
        </w:rPr>
      </w:pPr>
    </w:p>
    <w:p w14:paraId="6A72DF02" w14:textId="77777777" w:rsidR="0060416C" w:rsidRDefault="0060416C" w:rsidP="0060416C">
      <w:pPr>
        <w:rPr>
          <w:rFonts w:ascii="Times New Roman" w:hAnsi="Times New Roman" w:cs="Times New Roman"/>
          <w:sz w:val="22"/>
          <w:szCs w:val="22"/>
        </w:rPr>
      </w:pPr>
    </w:p>
    <w:p w14:paraId="53E23567" w14:textId="77777777" w:rsidR="0060416C" w:rsidRDefault="0060416C" w:rsidP="0060416C">
      <w:pPr>
        <w:rPr>
          <w:rFonts w:ascii="Times New Roman" w:hAnsi="Times New Roman" w:cs="Times New Roman"/>
          <w:sz w:val="22"/>
          <w:szCs w:val="22"/>
        </w:rPr>
      </w:pPr>
    </w:p>
    <w:p w14:paraId="28279CEA" w14:textId="77777777" w:rsidR="0060416C" w:rsidRDefault="0060416C" w:rsidP="0060416C">
      <w:pPr>
        <w:rPr>
          <w:rFonts w:ascii="Times New Roman" w:hAnsi="Times New Roman" w:cs="Times New Roman"/>
          <w:sz w:val="22"/>
          <w:szCs w:val="22"/>
        </w:rPr>
      </w:pPr>
    </w:p>
    <w:p w14:paraId="12BB9773" w14:textId="77777777" w:rsidR="0060416C" w:rsidRDefault="0060416C" w:rsidP="0060416C">
      <w:pPr>
        <w:rPr>
          <w:rFonts w:ascii="Times New Roman" w:hAnsi="Times New Roman" w:cs="Times New Roman"/>
          <w:sz w:val="22"/>
          <w:szCs w:val="22"/>
        </w:rPr>
      </w:pPr>
    </w:p>
    <w:p w14:paraId="41ADD378" w14:textId="77777777" w:rsidR="0060416C" w:rsidRDefault="0060416C" w:rsidP="0060416C">
      <w:pPr>
        <w:rPr>
          <w:rFonts w:ascii="Times New Roman" w:hAnsi="Times New Roman" w:cs="Times New Roman"/>
          <w:sz w:val="22"/>
          <w:szCs w:val="22"/>
        </w:rPr>
      </w:pPr>
    </w:p>
    <w:p w14:paraId="44968161" w14:textId="77777777" w:rsidR="0060416C" w:rsidRPr="00B94AF3" w:rsidRDefault="0060416C" w:rsidP="0060416C">
      <w:pPr>
        <w:rPr>
          <w:rFonts w:ascii="Times New Roman" w:hAnsi="Times New Roman" w:cs="Times New Roman"/>
          <w:sz w:val="22"/>
          <w:szCs w:val="22"/>
        </w:rPr>
      </w:pPr>
    </w:p>
    <w:p w14:paraId="5CEE3776" w14:textId="77777777" w:rsidR="0060416C" w:rsidRPr="00B94AF3" w:rsidRDefault="0060416C" w:rsidP="0060416C">
      <w:pPr>
        <w:numPr>
          <w:ilvl w:val="0"/>
          <w:numId w:val="1"/>
        </w:numPr>
        <w:jc w:val="both"/>
        <w:rPr>
          <w:rFonts w:ascii="Times New Roman" w:hAnsi="Times New Roman" w:cs="Times New Roman"/>
          <w:sz w:val="20"/>
          <w:szCs w:val="22"/>
          <w:lang w:val="de-DE"/>
        </w:rPr>
      </w:pPr>
      <w:r w:rsidRPr="006E607D">
        <w:rPr>
          <w:rFonts w:ascii="Times New Roman" w:hAnsi="Times New Roman" w:cs="Times New Roman"/>
          <w:sz w:val="20"/>
          <w:szCs w:val="22"/>
          <w:lang w:val="de-DE"/>
        </w:rPr>
        <w:t xml:space="preserve">J. Spiegel, S. </w:t>
      </w:r>
      <w:proofErr w:type="spellStart"/>
      <w:r w:rsidRPr="006E607D">
        <w:rPr>
          <w:rFonts w:ascii="Times New Roman" w:hAnsi="Times New Roman" w:cs="Times New Roman"/>
          <w:sz w:val="20"/>
          <w:szCs w:val="22"/>
          <w:lang w:val="de-DE"/>
        </w:rPr>
        <w:t>Adhikari</w:t>
      </w:r>
      <w:proofErr w:type="spellEnd"/>
      <w:r w:rsidRPr="006E607D">
        <w:rPr>
          <w:rFonts w:ascii="Times New Roman" w:hAnsi="Times New Roman" w:cs="Times New Roman"/>
          <w:sz w:val="20"/>
          <w:szCs w:val="22"/>
          <w:lang w:val="de-DE"/>
        </w:rPr>
        <w:t xml:space="preserve">, S. </w:t>
      </w:r>
      <w:proofErr w:type="spellStart"/>
      <w:r w:rsidRPr="006E607D">
        <w:rPr>
          <w:rFonts w:ascii="Times New Roman" w:hAnsi="Times New Roman" w:cs="Times New Roman"/>
          <w:sz w:val="20"/>
          <w:szCs w:val="22"/>
          <w:lang w:val="de-DE"/>
        </w:rPr>
        <w:t>Balasubramanian</w:t>
      </w:r>
      <w:proofErr w:type="spellEnd"/>
      <w:r w:rsidRPr="006E607D">
        <w:rPr>
          <w:rFonts w:ascii="Times New Roman" w:hAnsi="Times New Roman" w:cs="Times New Roman"/>
          <w:sz w:val="20"/>
          <w:szCs w:val="22"/>
          <w:lang w:val="de-DE"/>
        </w:rPr>
        <w:t xml:space="preserve">, </w:t>
      </w:r>
      <w:r w:rsidRPr="006E607D">
        <w:rPr>
          <w:rFonts w:ascii="Times New Roman" w:hAnsi="Times New Roman" w:cs="Times New Roman"/>
          <w:i/>
          <w:iCs/>
          <w:sz w:val="20"/>
          <w:szCs w:val="22"/>
          <w:lang w:val="de-DE"/>
        </w:rPr>
        <w:t xml:space="preserve">Trends Chem. </w:t>
      </w:r>
      <w:r w:rsidRPr="006E607D">
        <w:rPr>
          <w:rFonts w:ascii="Times New Roman" w:hAnsi="Times New Roman" w:cs="Times New Roman"/>
          <w:b/>
          <w:bCs/>
          <w:sz w:val="20"/>
          <w:szCs w:val="22"/>
          <w:lang w:val="de-DE"/>
        </w:rPr>
        <w:t>2020</w:t>
      </w:r>
      <w:r w:rsidRPr="006E607D">
        <w:rPr>
          <w:rFonts w:ascii="Times New Roman" w:hAnsi="Times New Roman" w:cs="Times New Roman"/>
          <w:sz w:val="20"/>
          <w:szCs w:val="22"/>
          <w:lang w:val="de-DE"/>
        </w:rPr>
        <w:t xml:space="preserve">, </w:t>
      </w:r>
      <w:r w:rsidRPr="006E607D">
        <w:rPr>
          <w:rFonts w:ascii="Times New Roman" w:hAnsi="Times New Roman" w:cs="Times New Roman"/>
          <w:i/>
          <w:iCs/>
          <w:sz w:val="20"/>
          <w:szCs w:val="22"/>
          <w:lang w:val="de-DE"/>
        </w:rPr>
        <w:t>2</w:t>
      </w:r>
      <w:r w:rsidRPr="006E607D">
        <w:rPr>
          <w:rFonts w:ascii="Times New Roman" w:hAnsi="Times New Roman" w:cs="Times New Roman"/>
          <w:sz w:val="20"/>
          <w:szCs w:val="22"/>
          <w:lang w:val="de-DE"/>
        </w:rPr>
        <w:t>, 123-136.</w:t>
      </w:r>
    </w:p>
    <w:p w14:paraId="39D27FD0" w14:textId="77777777" w:rsidR="0060416C" w:rsidRPr="00B94AF3" w:rsidRDefault="0060416C" w:rsidP="0060416C">
      <w:pPr>
        <w:numPr>
          <w:ilvl w:val="0"/>
          <w:numId w:val="1"/>
        </w:numPr>
        <w:jc w:val="both"/>
        <w:rPr>
          <w:rFonts w:ascii="Times New Roman" w:hAnsi="Times New Roman" w:cs="Times New Roman"/>
          <w:sz w:val="20"/>
          <w:szCs w:val="22"/>
          <w:lang w:val="it-IT"/>
        </w:rPr>
      </w:pPr>
      <w:r w:rsidRPr="00B94AF3">
        <w:rPr>
          <w:rFonts w:ascii="Times New Roman" w:hAnsi="Times New Roman" w:cs="Times New Roman"/>
          <w:sz w:val="20"/>
          <w:szCs w:val="22"/>
          <w:lang w:val="it-IT"/>
        </w:rPr>
        <w:t xml:space="preserve">Lipps, H. J., Rhodes, D. </w:t>
      </w:r>
      <w:r w:rsidRPr="00B94AF3">
        <w:rPr>
          <w:rFonts w:ascii="Times New Roman" w:hAnsi="Times New Roman" w:cs="Times New Roman"/>
          <w:i/>
          <w:sz w:val="20"/>
          <w:szCs w:val="22"/>
          <w:lang w:val="it-IT"/>
        </w:rPr>
        <w:t>Trends Cell Biol.</w:t>
      </w:r>
      <w:r w:rsidRPr="00B94AF3">
        <w:rPr>
          <w:rFonts w:ascii="Times New Roman" w:hAnsi="Times New Roman" w:cs="Times New Roman"/>
          <w:sz w:val="20"/>
          <w:szCs w:val="22"/>
          <w:lang w:val="it-IT"/>
        </w:rPr>
        <w:t xml:space="preserve"> </w:t>
      </w:r>
      <w:r w:rsidRPr="00B94AF3">
        <w:rPr>
          <w:rFonts w:ascii="Times New Roman" w:hAnsi="Times New Roman" w:cs="Times New Roman"/>
          <w:b/>
          <w:sz w:val="20"/>
          <w:szCs w:val="22"/>
          <w:lang w:val="it-IT"/>
        </w:rPr>
        <w:t>2009</w:t>
      </w:r>
      <w:r w:rsidRPr="00B94AF3">
        <w:rPr>
          <w:rFonts w:ascii="Times New Roman" w:hAnsi="Times New Roman" w:cs="Times New Roman"/>
          <w:sz w:val="20"/>
          <w:szCs w:val="22"/>
          <w:lang w:val="it-IT"/>
        </w:rPr>
        <w:t xml:space="preserve">; </w:t>
      </w:r>
      <w:r w:rsidRPr="00B94AF3">
        <w:rPr>
          <w:rFonts w:ascii="Times New Roman" w:hAnsi="Times New Roman" w:cs="Times New Roman"/>
          <w:i/>
          <w:sz w:val="20"/>
          <w:szCs w:val="22"/>
          <w:lang w:val="it-IT"/>
        </w:rPr>
        <w:t>19</w:t>
      </w:r>
      <w:r w:rsidRPr="00B94AF3">
        <w:rPr>
          <w:rFonts w:ascii="Times New Roman" w:hAnsi="Times New Roman" w:cs="Times New Roman"/>
          <w:sz w:val="20"/>
          <w:szCs w:val="22"/>
          <w:lang w:val="it-IT"/>
        </w:rPr>
        <w:t>, 414-422.</w:t>
      </w:r>
    </w:p>
    <w:p w14:paraId="5B7E0F26" w14:textId="77777777" w:rsidR="0060416C" w:rsidRPr="00B94AF3" w:rsidRDefault="0060416C" w:rsidP="0060416C">
      <w:pPr>
        <w:numPr>
          <w:ilvl w:val="0"/>
          <w:numId w:val="1"/>
        </w:numPr>
        <w:jc w:val="both"/>
        <w:rPr>
          <w:rFonts w:ascii="Times New Roman" w:hAnsi="Times New Roman" w:cs="Times New Roman"/>
          <w:sz w:val="20"/>
          <w:szCs w:val="22"/>
          <w:lang w:val="en-GB"/>
        </w:rPr>
      </w:pPr>
      <w:r w:rsidRPr="00B94AF3">
        <w:rPr>
          <w:rFonts w:ascii="Times New Roman" w:hAnsi="Times New Roman" w:cs="Times New Roman"/>
          <w:sz w:val="20"/>
          <w:szCs w:val="22"/>
          <w:lang w:val="it-IT"/>
        </w:rPr>
        <w:t xml:space="preserve">a) Monchaud, D., Teulade-Fichou, M.-P. </w:t>
      </w:r>
      <w:r w:rsidRPr="00B94AF3">
        <w:rPr>
          <w:rFonts w:ascii="Times New Roman" w:hAnsi="Times New Roman" w:cs="Times New Roman"/>
          <w:i/>
          <w:sz w:val="20"/>
          <w:szCs w:val="22"/>
          <w:lang w:val="it-IT"/>
        </w:rPr>
        <w:t>Org. Biomol. Chem.</w:t>
      </w:r>
      <w:r w:rsidRPr="00B94AF3">
        <w:rPr>
          <w:rFonts w:ascii="Times New Roman" w:hAnsi="Times New Roman" w:cs="Times New Roman"/>
          <w:sz w:val="20"/>
          <w:szCs w:val="22"/>
          <w:lang w:val="it-IT"/>
        </w:rPr>
        <w:t xml:space="preserve"> </w:t>
      </w:r>
      <w:r w:rsidRPr="00B94AF3">
        <w:rPr>
          <w:rFonts w:ascii="Times New Roman" w:hAnsi="Times New Roman" w:cs="Times New Roman"/>
          <w:b/>
          <w:sz w:val="20"/>
          <w:szCs w:val="22"/>
          <w:lang w:val="it-IT"/>
        </w:rPr>
        <w:t>2008</w:t>
      </w:r>
      <w:r w:rsidRPr="00B94AF3">
        <w:rPr>
          <w:rFonts w:ascii="Times New Roman" w:hAnsi="Times New Roman" w:cs="Times New Roman"/>
          <w:sz w:val="20"/>
          <w:szCs w:val="22"/>
          <w:lang w:val="it-IT"/>
        </w:rPr>
        <w:t xml:space="preserve">, </w:t>
      </w:r>
      <w:r w:rsidRPr="00B94AF3">
        <w:rPr>
          <w:rFonts w:ascii="Times New Roman" w:hAnsi="Times New Roman" w:cs="Times New Roman"/>
          <w:i/>
          <w:sz w:val="20"/>
          <w:szCs w:val="22"/>
          <w:lang w:val="it-IT"/>
        </w:rPr>
        <w:t>6</w:t>
      </w:r>
      <w:r w:rsidRPr="00B94AF3">
        <w:rPr>
          <w:rFonts w:ascii="Times New Roman" w:hAnsi="Times New Roman" w:cs="Times New Roman"/>
          <w:sz w:val="20"/>
          <w:szCs w:val="22"/>
          <w:lang w:val="it-IT"/>
        </w:rPr>
        <w:t xml:space="preserve">, 627-636; b) Verga, D., Hamon, F., Poyer, F., Bombard, S., Teulade-Fichou, M.-P., </w:t>
      </w:r>
      <w:r w:rsidRPr="00B94AF3">
        <w:rPr>
          <w:rFonts w:ascii="Times New Roman" w:hAnsi="Times New Roman" w:cs="Times New Roman"/>
          <w:i/>
          <w:sz w:val="20"/>
          <w:szCs w:val="22"/>
          <w:lang w:val="it-IT"/>
        </w:rPr>
        <w:t xml:space="preserve">Angew. </w:t>
      </w:r>
      <w:r w:rsidRPr="00B94AF3">
        <w:rPr>
          <w:rFonts w:ascii="Times New Roman" w:hAnsi="Times New Roman" w:cs="Times New Roman"/>
          <w:i/>
          <w:sz w:val="20"/>
          <w:szCs w:val="22"/>
          <w:lang w:val="en-GB"/>
        </w:rPr>
        <w:t>Chem. Int. Ed.</w:t>
      </w:r>
      <w:r w:rsidRPr="00B94AF3">
        <w:rPr>
          <w:rFonts w:ascii="Times New Roman" w:hAnsi="Times New Roman" w:cs="Times New Roman"/>
          <w:sz w:val="20"/>
          <w:szCs w:val="22"/>
          <w:lang w:val="en-GB"/>
        </w:rPr>
        <w:t xml:space="preserve"> </w:t>
      </w:r>
      <w:r w:rsidRPr="00B94AF3">
        <w:rPr>
          <w:rFonts w:ascii="Times New Roman" w:hAnsi="Times New Roman" w:cs="Times New Roman"/>
          <w:b/>
          <w:sz w:val="20"/>
          <w:szCs w:val="22"/>
          <w:lang w:val="en-GB"/>
        </w:rPr>
        <w:t>2014</w:t>
      </w:r>
      <w:r w:rsidRPr="00B94AF3">
        <w:rPr>
          <w:rFonts w:ascii="Times New Roman" w:hAnsi="Times New Roman" w:cs="Times New Roman"/>
          <w:sz w:val="20"/>
          <w:szCs w:val="22"/>
          <w:lang w:val="en-GB"/>
        </w:rPr>
        <w:t xml:space="preserve">, </w:t>
      </w:r>
      <w:r w:rsidRPr="00B94AF3">
        <w:rPr>
          <w:rFonts w:ascii="Times New Roman" w:hAnsi="Times New Roman" w:cs="Times New Roman"/>
          <w:i/>
          <w:sz w:val="20"/>
          <w:szCs w:val="22"/>
          <w:lang w:val="en-GB"/>
        </w:rPr>
        <w:t>53</w:t>
      </w:r>
      <w:r w:rsidRPr="00B94AF3">
        <w:rPr>
          <w:rFonts w:ascii="Times New Roman" w:hAnsi="Times New Roman" w:cs="Times New Roman"/>
          <w:sz w:val="20"/>
          <w:szCs w:val="22"/>
          <w:lang w:val="en-GB"/>
        </w:rPr>
        <w:t>, 994-998.</w:t>
      </w:r>
    </w:p>
    <w:p w14:paraId="0E1814AD" w14:textId="77777777" w:rsidR="0060416C" w:rsidRPr="00B94AF3" w:rsidRDefault="0060416C" w:rsidP="0060416C">
      <w:pPr>
        <w:numPr>
          <w:ilvl w:val="0"/>
          <w:numId w:val="1"/>
        </w:numPr>
        <w:jc w:val="both"/>
        <w:rPr>
          <w:rFonts w:ascii="Times New Roman" w:hAnsi="Times New Roman" w:cs="Times New Roman"/>
          <w:sz w:val="20"/>
          <w:szCs w:val="22"/>
          <w:lang w:val="en-GB"/>
        </w:rPr>
      </w:pPr>
      <w:r w:rsidRPr="00B94AF3">
        <w:rPr>
          <w:rFonts w:ascii="Times New Roman" w:hAnsi="Times New Roman" w:cs="Times New Roman"/>
          <w:sz w:val="20"/>
          <w:szCs w:val="22"/>
          <w:lang w:val="en-GB"/>
        </w:rPr>
        <w:t xml:space="preserve">Balasubramanian, S., Hurley, L. H., </w:t>
      </w:r>
      <w:proofErr w:type="spellStart"/>
      <w:r w:rsidRPr="00B94AF3">
        <w:rPr>
          <w:rFonts w:ascii="Times New Roman" w:hAnsi="Times New Roman" w:cs="Times New Roman"/>
          <w:sz w:val="20"/>
          <w:szCs w:val="22"/>
          <w:lang w:val="en-GB"/>
        </w:rPr>
        <w:t>Neidle</w:t>
      </w:r>
      <w:proofErr w:type="spellEnd"/>
      <w:r w:rsidRPr="00B94AF3">
        <w:rPr>
          <w:rFonts w:ascii="Times New Roman" w:hAnsi="Times New Roman" w:cs="Times New Roman"/>
          <w:sz w:val="20"/>
          <w:szCs w:val="22"/>
          <w:lang w:val="en-GB"/>
        </w:rPr>
        <w:t xml:space="preserve">, S. </w:t>
      </w:r>
      <w:r w:rsidRPr="00B94AF3">
        <w:rPr>
          <w:rFonts w:ascii="Times New Roman" w:hAnsi="Times New Roman" w:cs="Times New Roman"/>
          <w:i/>
          <w:sz w:val="20"/>
          <w:szCs w:val="22"/>
          <w:lang w:val="en-GB"/>
        </w:rPr>
        <w:t xml:space="preserve">Nature drug </w:t>
      </w:r>
      <w:proofErr w:type="spellStart"/>
      <w:r w:rsidRPr="00B94AF3">
        <w:rPr>
          <w:rFonts w:ascii="Times New Roman" w:hAnsi="Times New Roman" w:cs="Times New Roman"/>
          <w:i/>
          <w:sz w:val="20"/>
          <w:szCs w:val="22"/>
          <w:lang w:val="en-GB"/>
        </w:rPr>
        <w:t>discov</w:t>
      </w:r>
      <w:proofErr w:type="spellEnd"/>
      <w:r w:rsidRPr="00B94AF3">
        <w:rPr>
          <w:rFonts w:ascii="Times New Roman" w:hAnsi="Times New Roman" w:cs="Times New Roman"/>
          <w:i/>
          <w:sz w:val="20"/>
          <w:szCs w:val="22"/>
          <w:lang w:val="en-GB"/>
        </w:rPr>
        <w:t>.</w:t>
      </w:r>
      <w:r w:rsidRPr="00B94AF3">
        <w:rPr>
          <w:rFonts w:ascii="Times New Roman" w:hAnsi="Times New Roman" w:cs="Times New Roman"/>
          <w:sz w:val="20"/>
          <w:szCs w:val="22"/>
          <w:lang w:val="en-GB"/>
        </w:rPr>
        <w:t xml:space="preserve"> </w:t>
      </w:r>
      <w:r w:rsidRPr="00B94AF3">
        <w:rPr>
          <w:rFonts w:ascii="Times New Roman" w:hAnsi="Times New Roman" w:cs="Times New Roman"/>
          <w:b/>
          <w:sz w:val="20"/>
          <w:szCs w:val="22"/>
          <w:lang w:val="en-GB"/>
        </w:rPr>
        <w:t>2011</w:t>
      </w:r>
      <w:r w:rsidRPr="00B94AF3">
        <w:rPr>
          <w:rFonts w:ascii="Times New Roman" w:hAnsi="Times New Roman" w:cs="Times New Roman"/>
          <w:sz w:val="20"/>
          <w:szCs w:val="22"/>
          <w:lang w:val="en-GB"/>
        </w:rPr>
        <w:t xml:space="preserve">; </w:t>
      </w:r>
      <w:r w:rsidRPr="00B94AF3">
        <w:rPr>
          <w:rFonts w:ascii="Times New Roman" w:hAnsi="Times New Roman" w:cs="Times New Roman"/>
          <w:i/>
          <w:sz w:val="20"/>
          <w:szCs w:val="22"/>
          <w:lang w:val="en-GB"/>
        </w:rPr>
        <w:t>10</w:t>
      </w:r>
      <w:r w:rsidRPr="00B94AF3">
        <w:rPr>
          <w:rFonts w:ascii="Times New Roman" w:hAnsi="Times New Roman" w:cs="Times New Roman"/>
          <w:sz w:val="20"/>
          <w:szCs w:val="22"/>
          <w:lang w:val="en-GB"/>
        </w:rPr>
        <w:t>, 261- 275.</w:t>
      </w:r>
    </w:p>
    <w:p w14:paraId="4CDDEB97" w14:textId="77777777" w:rsidR="0060416C" w:rsidRPr="00B94AF3" w:rsidRDefault="0060416C" w:rsidP="0060416C">
      <w:pPr>
        <w:numPr>
          <w:ilvl w:val="0"/>
          <w:numId w:val="1"/>
        </w:numPr>
        <w:jc w:val="both"/>
        <w:rPr>
          <w:rFonts w:ascii="Times New Roman" w:hAnsi="Times New Roman" w:cs="Times New Roman"/>
          <w:sz w:val="20"/>
          <w:szCs w:val="22"/>
          <w:lang w:val="en-GB"/>
        </w:rPr>
      </w:pPr>
      <w:r w:rsidRPr="007C61B7">
        <w:rPr>
          <w:rFonts w:ascii="Times New Roman" w:hAnsi="Times New Roman" w:cs="Times New Roman"/>
          <w:sz w:val="20"/>
          <w:szCs w:val="22"/>
          <w:lang w:val="fr-FR"/>
        </w:rPr>
        <w:t xml:space="preserve">Verga, D., Hamon, F., Nicoleau, C., Guetta, C., Wu, T.-D., </w:t>
      </w:r>
      <w:proofErr w:type="spellStart"/>
      <w:r w:rsidRPr="007C61B7">
        <w:rPr>
          <w:rFonts w:ascii="Times New Roman" w:hAnsi="Times New Roman" w:cs="Times New Roman"/>
          <w:sz w:val="20"/>
          <w:szCs w:val="22"/>
          <w:lang w:val="fr-FR"/>
        </w:rPr>
        <w:t>Guerquin</w:t>
      </w:r>
      <w:proofErr w:type="spellEnd"/>
      <w:r w:rsidRPr="007C61B7">
        <w:rPr>
          <w:rFonts w:ascii="Times New Roman" w:hAnsi="Times New Roman" w:cs="Times New Roman"/>
          <w:sz w:val="20"/>
          <w:szCs w:val="22"/>
          <w:lang w:val="fr-FR"/>
        </w:rPr>
        <w:t xml:space="preserve">-Kern, J.-L., Marco S., </w:t>
      </w:r>
      <w:proofErr w:type="spellStart"/>
      <w:r w:rsidRPr="007C61B7">
        <w:rPr>
          <w:rFonts w:ascii="Times New Roman" w:hAnsi="Times New Roman" w:cs="Times New Roman"/>
          <w:sz w:val="20"/>
          <w:szCs w:val="22"/>
          <w:lang w:val="fr-FR"/>
        </w:rPr>
        <w:t>Teulade</w:t>
      </w:r>
      <w:proofErr w:type="spellEnd"/>
      <w:r w:rsidRPr="007C61B7">
        <w:rPr>
          <w:rFonts w:ascii="Times New Roman" w:hAnsi="Times New Roman" w:cs="Times New Roman"/>
          <w:sz w:val="20"/>
          <w:szCs w:val="22"/>
          <w:lang w:val="fr-FR"/>
        </w:rPr>
        <w:t xml:space="preserve">-Fichou, M.-P. </w:t>
      </w:r>
      <w:r w:rsidRPr="007C61B7">
        <w:rPr>
          <w:rFonts w:ascii="Times New Roman" w:hAnsi="Times New Roman" w:cs="Times New Roman"/>
          <w:i/>
          <w:sz w:val="20"/>
          <w:szCs w:val="22"/>
          <w:lang w:val="fr-FR"/>
        </w:rPr>
        <w:t xml:space="preserve">J. Mol. </w:t>
      </w:r>
      <w:r w:rsidRPr="00B94AF3">
        <w:rPr>
          <w:rFonts w:ascii="Times New Roman" w:hAnsi="Times New Roman" w:cs="Times New Roman"/>
          <w:i/>
          <w:sz w:val="20"/>
          <w:szCs w:val="22"/>
          <w:lang w:val="en-GB"/>
        </w:rPr>
        <w:t>Biol. &amp; Mol. Imaging</w:t>
      </w:r>
      <w:r w:rsidRPr="00B94AF3">
        <w:rPr>
          <w:rFonts w:ascii="Times New Roman" w:hAnsi="Times New Roman" w:cs="Times New Roman"/>
          <w:sz w:val="20"/>
          <w:szCs w:val="22"/>
          <w:lang w:val="en-GB"/>
        </w:rPr>
        <w:t xml:space="preserve"> </w:t>
      </w:r>
      <w:r w:rsidRPr="00B94AF3">
        <w:rPr>
          <w:rFonts w:ascii="Times New Roman" w:hAnsi="Times New Roman" w:cs="Times New Roman"/>
          <w:b/>
          <w:sz w:val="20"/>
          <w:szCs w:val="22"/>
          <w:lang w:val="en-GB"/>
        </w:rPr>
        <w:t>2017</w:t>
      </w:r>
      <w:r w:rsidRPr="00B94AF3">
        <w:rPr>
          <w:rFonts w:ascii="Times New Roman" w:hAnsi="Times New Roman" w:cs="Times New Roman"/>
          <w:sz w:val="20"/>
          <w:szCs w:val="22"/>
          <w:lang w:val="en-GB"/>
        </w:rPr>
        <w:t>, 4(1).</w:t>
      </w:r>
    </w:p>
    <w:p w14:paraId="78A3E947" w14:textId="77777777" w:rsidR="0060416C" w:rsidRPr="00B94AF3" w:rsidRDefault="0060416C" w:rsidP="0060416C">
      <w:pPr>
        <w:numPr>
          <w:ilvl w:val="0"/>
          <w:numId w:val="1"/>
        </w:numPr>
        <w:jc w:val="both"/>
        <w:rPr>
          <w:rFonts w:ascii="Times New Roman" w:hAnsi="Times New Roman" w:cs="Times New Roman"/>
          <w:sz w:val="20"/>
          <w:szCs w:val="22"/>
          <w:lang w:val="fr-FR"/>
        </w:rPr>
      </w:pPr>
      <w:r w:rsidRPr="00B94AF3">
        <w:rPr>
          <w:rFonts w:ascii="Times New Roman" w:hAnsi="Times New Roman" w:cs="Times New Roman"/>
          <w:sz w:val="20"/>
          <w:szCs w:val="22"/>
          <w:lang w:val="fr-FR"/>
        </w:rPr>
        <w:t xml:space="preserve">Masson, </w:t>
      </w:r>
      <w:proofErr w:type="gramStart"/>
      <w:r w:rsidRPr="00B94AF3">
        <w:rPr>
          <w:rFonts w:ascii="Times New Roman" w:hAnsi="Times New Roman" w:cs="Times New Roman"/>
          <w:sz w:val="20"/>
          <w:szCs w:val="22"/>
          <w:lang w:val="fr-FR"/>
        </w:rPr>
        <w:t>T.;</w:t>
      </w:r>
      <w:proofErr w:type="gramEnd"/>
      <w:r w:rsidRPr="00B94AF3">
        <w:rPr>
          <w:rFonts w:ascii="Times New Roman" w:hAnsi="Times New Roman" w:cs="Times New Roman"/>
          <w:sz w:val="20"/>
          <w:szCs w:val="22"/>
          <w:lang w:val="fr-FR"/>
        </w:rPr>
        <w:t xml:space="preserve"> </w:t>
      </w:r>
      <w:proofErr w:type="spellStart"/>
      <w:r w:rsidRPr="00B94AF3">
        <w:rPr>
          <w:rFonts w:ascii="Times New Roman" w:hAnsi="Times New Roman" w:cs="Times New Roman"/>
          <w:sz w:val="20"/>
          <w:szCs w:val="22"/>
          <w:lang w:val="fr-FR"/>
        </w:rPr>
        <w:t>Landras</w:t>
      </w:r>
      <w:proofErr w:type="spellEnd"/>
      <w:r>
        <w:rPr>
          <w:rFonts w:ascii="Times New Roman" w:hAnsi="Times New Roman" w:cs="Times New Roman"/>
          <w:sz w:val="20"/>
          <w:szCs w:val="22"/>
          <w:lang w:val="fr-FR"/>
        </w:rPr>
        <w:t xml:space="preserve"> </w:t>
      </w:r>
      <w:r w:rsidRPr="00B94AF3">
        <w:rPr>
          <w:rFonts w:ascii="Times New Roman" w:hAnsi="Times New Roman" w:cs="Times New Roman"/>
          <w:sz w:val="20"/>
          <w:szCs w:val="22"/>
          <w:lang w:val="fr-FR"/>
        </w:rPr>
        <w:t xml:space="preserve">Guetta, C.; </w:t>
      </w:r>
      <w:proofErr w:type="spellStart"/>
      <w:r w:rsidRPr="00B94AF3">
        <w:rPr>
          <w:rFonts w:ascii="Times New Roman" w:hAnsi="Times New Roman" w:cs="Times New Roman"/>
          <w:sz w:val="20"/>
          <w:szCs w:val="22"/>
          <w:lang w:val="fr-FR"/>
        </w:rPr>
        <w:t>Laigre</w:t>
      </w:r>
      <w:proofErr w:type="spellEnd"/>
      <w:r w:rsidRPr="00B94AF3">
        <w:rPr>
          <w:rFonts w:ascii="Times New Roman" w:hAnsi="Times New Roman" w:cs="Times New Roman"/>
          <w:sz w:val="20"/>
          <w:szCs w:val="22"/>
          <w:lang w:val="fr-FR"/>
        </w:rPr>
        <w:t xml:space="preserve">, E.; </w:t>
      </w:r>
      <w:proofErr w:type="spellStart"/>
      <w:r w:rsidRPr="00B94AF3">
        <w:rPr>
          <w:rFonts w:ascii="Times New Roman" w:hAnsi="Times New Roman" w:cs="Times New Roman"/>
          <w:sz w:val="20"/>
          <w:szCs w:val="22"/>
          <w:lang w:val="fr-FR"/>
        </w:rPr>
        <w:t>Cucchiarini</w:t>
      </w:r>
      <w:proofErr w:type="spellEnd"/>
      <w:r w:rsidRPr="00B94AF3">
        <w:rPr>
          <w:rFonts w:ascii="Times New Roman" w:hAnsi="Times New Roman" w:cs="Times New Roman"/>
          <w:sz w:val="20"/>
          <w:szCs w:val="22"/>
          <w:lang w:val="fr-FR"/>
        </w:rPr>
        <w:t xml:space="preserve">, A.; Duchambon, P.; </w:t>
      </w:r>
      <w:proofErr w:type="spellStart"/>
      <w:r w:rsidRPr="00B94AF3">
        <w:rPr>
          <w:rFonts w:ascii="Times New Roman" w:hAnsi="Times New Roman" w:cs="Times New Roman"/>
          <w:sz w:val="20"/>
          <w:szCs w:val="22"/>
          <w:lang w:val="fr-FR"/>
        </w:rPr>
        <w:t>Teulade</w:t>
      </w:r>
      <w:proofErr w:type="spellEnd"/>
      <w:r w:rsidRPr="00B94AF3">
        <w:rPr>
          <w:rFonts w:ascii="Times New Roman" w:hAnsi="Times New Roman" w:cs="Times New Roman"/>
          <w:sz w:val="20"/>
          <w:szCs w:val="22"/>
          <w:lang w:val="fr-FR"/>
        </w:rPr>
        <w:t xml:space="preserve">-Fichou, M.-P.; Verga, D. </w:t>
      </w:r>
      <w:proofErr w:type="spellStart"/>
      <w:r w:rsidRPr="00B94AF3">
        <w:rPr>
          <w:rFonts w:ascii="Times New Roman" w:hAnsi="Times New Roman" w:cs="Times New Roman"/>
          <w:i/>
          <w:iCs/>
          <w:sz w:val="20"/>
          <w:szCs w:val="22"/>
          <w:lang w:val="fr-FR"/>
        </w:rPr>
        <w:t>Nucleic</w:t>
      </w:r>
      <w:proofErr w:type="spellEnd"/>
      <w:r w:rsidRPr="00B94AF3">
        <w:rPr>
          <w:rFonts w:ascii="Times New Roman" w:hAnsi="Times New Roman" w:cs="Times New Roman"/>
          <w:i/>
          <w:iCs/>
          <w:sz w:val="20"/>
          <w:szCs w:val="22"/>
          <w:lang w:val="fr-FR"/>
        </w:rPr>
        <w:t xml:space="preserve"> </w:t>
      </w:r>
      <w:proofErr w:type="spellStart"/>
      <w:r w:rsidRPr="00B94AF3">
        <w:rPr>
          <w:rFonts w:ascii="Times New Roman" w:hAnsi="Times New Roman" w:cs="Times New Roman"/>
          <w:i/>
          <w:iCs/>
          <w:sz w:val="20"/>
          <w:szCs w:val="22"/>
          <w:lang w:val="fr-FR"/>
        </w:rPr>
        <w:t>Acids</w:t>
      </w:r>
      <w:proofErr w:type="spellEnd"/>
      <w:r w:rsidRPr="00B94AF3">
        <w:rPr>
          <w:rFonts w:ascii="Times New Roman" w:hAnsi="Times New Roman" w:cs="Times New Roman"/>
          <w:i/>
          <w:iCs/>
          <w:sz w:val="20"/>
          <w:szCs w:val="22"/>
          <w:lang w:val="fr-FR"/>
        </w:rPr>
        <w:t xml:space="preserve"> </w:t>
      </w:r>
      <w:proofErr w:type="spellStart"/>
      <w:r w:rsidRPr="00B94AF3">
        <w:rPr>
          <w:rFonts w:ascii="Times New Roman" w:hAnsi="Times New Roman" w:cs="Times New Roman"/>
          <w:i/>
          <w:iCs/>
          <w:sz w:val="20"/>
          <w:szCs w:val="22"/>
          <w:lang w:val="fr-FR"/>
        </w:rPr>
        <w:t>Res</w:t>
      </w:r>
      <w:proofErr w:type="spellEnd"/>
      <w:r w:rsidRPr="00B94AF3">
        <w:rPr>
          <w:rFonts w:ascii="Times New Roman" w:hAnsi="Times New Roman" w:cs="Times New Roman"/>
          <w:i/>
          <w:iCs/>
          <w:sz w:val="20"/>
          <w:szCs w:val="22"/>
          <w:lang w:val="fr-FR"/>
        </w:rPr>
        <w:t xml:space="preserve">. </w:t>
      </w:r>
      <w:r w:rsidRPr="00B94AF3">
        <w:rPr>
          <w:rFonts w:ascii="Times New Roman" w:hAnsi="Times New Roman" w:cs="Times New Roman"/>
          <w:b/>
          <w:bCs/>
          <w:sz w:val="20"/>
          <w:szCs w:val="22"/>
          <w:lang w:val="fr-FR"/>
        </w:rPr>
        <w:t>2021,</w:t>
      </w:r>
      <w:r w:rsidRPr="00B94AF3">
        <w:rPr>
          <w:rFonts w:ascii="Times New Roman" w:hAnsi="Times New Roman" w:cs="Times New Roman"/>
          <w:sz w:val="20"/>
          <w:szCs w:val="22"/>
          <w:lang w:val="fr-FR"/>
        </w:rPr>
        <w:t xml:space="preserve"> </w:t>
      </w:r>
      <w:r w:rsidRPr="00B94AF3">
        <w:rPr>
          <w:rFonts w:ascii="Times New Roman" w:hAnsi="Times New Roman" w:cs="Times New Roman"/>
          <w:i/>
          <w:iCs/>
          <w:sz w:val="20"/>
          <w:szCs w:val="22"/>
          <w:lang w:val="fr-FR"/>
        </w:rPr>
        <w:t>49</w:t>
      </w:r>
      <w:r w:rsidRPr="00B94AF3">
        <w:rPr>
          <w:rFonts w:ascii="Times New Roman" w:hAnsi="Times New Roman" w:cs="Times New Roman"/>
          <w:sz w:val="20"/>
          <w:szCs w:val="22"/>
          <w:lang w:val="fr-FR"/>
        </w:rPr>
        <w:t xml:space="preserve"> (22), 12644-12660.</w:t>
      </w:r>
    </w:p>
    <w:p w14:paraId="43393870" w14:textId="77777777" w:rsidR="0060416C" w:rsidRPr="00B94AF3" w:rsidRDefault="0060416C" w:rsidP="0060416C">
      <w:pPr>
        <w:numPr>
          <w:ilvl w:val="0"/>
          <w:numId w:val="1"/>
        </w:numPr>
        <w:jc w:val="both"/>
        <w:rPr>
          <w:rFonts w:ascii="Times New Roman" w:hAnsi="Times New Roman" w:cs="Times New Roman"/>
          <w:sz w:val="20"/>
          <w:szCs w:val="22"/>
          <w:lang w:val="fr-FR"/>
        </w:rPr>
      </w:pPr>
      <w:r w:rsidRPr="00B94AF3">
        <w:rPr>
          <w:rFonts w:ascii="Times New Roman" w:hAnsi="Times New Roman" w:cs="Times New Roman"/>
          <w:sz w:val="20"/>
          <w:szCs w:val="22"/>
          <w:lang w:val="fr-FR"/>
        </w:rPr>
        <w:t xml:space="preserve">Lena, </w:t>
      </w:r>
      <w:proofErr w:type="gramStart"/>
      <w:r w:rsidRPr="00B94AF3">
        <w:rPr>
          <w:rFonts w:ascii="Times New Roman" w:hAnsi="Times New Roman" w:cs="Times New Roman"/>
          <w:sz w:val="20"/>
          <w:szCs w:val="22"/>
          <w:lang w:val="fr-FR"/>
        </w:rPr>
        <w:t>A.;</w:t>
      </w:r>
      <w:proofErr w:type="gramEnd"/>
      <w:r w:rsidRPr="00B94AF3">
        <w:rPr>
          <w:rFonts w:ascii="Times New Roman" w:hAnsi="Times New Roman" w:cs="Times New Roman"/>
          <w:sz w:val="20"/>
          <w:szCs w:val="22"/>
          <w:lang w:val="fr-FR"/>
        </w:rPr>
        <w:t xml:space="preserve"> </w:t>
      </w:r>
      <w:proofErr w:type="spellStart"/>
      <w:r w:rsidRPr="00B94AF3">
        <w:rPr>
          <w:rFonts w:ascii="Times New Roman" w:hAnsi="Times New Roman" w:cs="Times New Roman"/>
          <w:sz w:val="20"/>
          <w:szCs w:val="22"/>
          <w:lang w:val="fr-FR"/>
        </w:rPr>
        <w:t>Benassi</w:t>
      </w:r>
      <w:proofErr w:type="spellEnd"/>
      <w:r w:rsidRPr="00B94AF3">
        <w:rPr>
          <w:rFonts w:ascii="Times New Roman" w:hAnsi="Times New Roman" w:cs="Times New Roman"/>
          <w:sz w:val="20"/>
          <w:szCs w:val="22"/>
          <w:lang w:val="fr-FR"/>
        </w:rPr>
        <w:t xml:space="preserve">, A.; Stasi, M.; Saint-Pierre, C.; Freccero, M.; </w:t>
      </w:r>
      <w:proofErr w:type="spellStart"/>
      <w:r w:rsidRPr="00B94AF3">
        <w:rPr>
          <w:rFonts w:ascii="Times New Roman" w:hAnsi="Times New Roman" w:cs="Times New Roman"/>
          <w:sz w:val="20"/>
          <w:szCs w:val="22"/>
          <w:lang w:val="fr-FR"/>
        </w:rPr>
        <w:t>Gasparutto</w:t>
      </w:r>
      <w:proofErr w:type="spellEnd"/>
      <w:r w:rsidRPr="00B94AF3">
        <w:rPr>
          <w:rFonts w:ascii="Times New Roman" w:hAnsi="Times New Roman" w:cs="Times New Roman"/>
          <w:sz w:val="20"/>
          <w:szCs w:val="22"/>
          <w:lang w:val="fr-FR"/>
        </w:rPr>
        <w:t xml:space="preserve">, D.; Bombard, S.; Doria, F.; Verga, D. </w:t>
      </w:r>
      <w:proofErr w:type="spellStart"/>
      <w:r w:rsidRPr="00B94AF3">
        <w:rPr>
          <w:rFonts w:ascii="Times New Roman" w:hAnsi="Times New Roman" w:cs="Times New Roman"/>
          <w:i/>
          <w:iCs/>
          <w:sz w:val="20"/>
          <w:szCs w:val="22"/>
          <w:lang w:val="fr-FR"/>
        </w:rPr>
        <w:t>Chem</w:t>
      </w:r>
      <w:proofErr w:type="spellEnd"/>
      <w:r w:rsidRPr="00B94AF3">
        <w:rPr>
          <w:rFonts w:ascii="Times New Roman" w:hAnsi="Times New Roman" w:cs="Times New Roman"/>
          <w:i/>
          <w:iCs/>
          <w:sz w:val="20"/>
          <w:szCs w:val="22"/>
          <w:lang w:val="fr-FR"/>
        </w:rPr>
        <w:t xml:space="preserve">. </w:t>
      </w:r>
      <w:proofErr w:type="spellStart"/>
      <w:r w:rsidRPr="00B94AF3">
        <w:rPr>
          <w:rFonts w:ascii="Times New Roman" w:hAnsi="Times New Roman" w:cs="Times New Roman"/>
          <w:i/>
          <w:iCs/>
          <w:sz w:val="20"/>
          <w:szCs w:val="22"/>
          <w:lang w:val="fr-FR"/>
        </w:rPr>
        <w:t>Eur</w:t>
      </w:r>
      <w:proofErr w:type="spellEnd"/>
      <w:r w:rsidRPr="00B94AF3">
        <w:rPr>
          <w:rFonts w:ascii="Times New Roman" w:hAnsi="Times New Roman" w:cs="Times New Roman"/>
          <w:i/>
          <w:iCs/>
          <w:sz w:val="20"/>
          <w:szCs w:val="22"/>
          <w:lang w:val="fr-FR"/>
        </w:rPr>
        <w:t>. J.</w:t>
      </w:r>
      <w:r w:rsidRPr="00B94AF3">
        <w:rPr>
          <w:rFonts w:ascii="Times New Roman" w:hAnsi="Times New Roman" w:cs="Times New Roman"/>
          <w:sz w:val="20"/>
          <w:szCs w:val="22"/>
          <w:lang w:val="fr-FR"/>
        </w:rPr>
        <w:t xml:space="preserve"> </w:t>
      </w:r>
      <w:r w:rsidRPr="00B94AF3">
        <w:rPr>
          <w:rFonts w:ascii="Times New Roman" w:hAnsi="Times New Roman" w:cs="Times New Roman"/>
          <w:b/>
          <w:sz w:val="20"/>
          <w:szCs w:val="22"/>
          <w:lang w:val="fr-FR"/>
        </w:rPr>
        <w:t>2022</w:t>
      </w:r>
      <w:r w:rsidRPr="00B94AF3">
        <w:rPr>
          <w:rFonts w:ascii="Times New Roman" w:hAnsi="Times New Roman" w:cs="Times New Roman"/>
          <w:sz w:val="20"/>
          <w:szCs w:val="22"/>
          <w:lang w:val="fr-FR"/>
        </w:rPr>
        <w:t xml:space="preserve">, </w:t>
      </w:r>
      <w:r w:rsidRPr="00E222DC">
        <w:rPr>
          <w:rFonts w:ascii="Times New Roman" w:hAnsi="Times New Roman" w:cs="Times New Roman"/>
          <w:i/>
          <w:sz w:val="20"/>
          <w:szCs w:val="22"/>
          <w:lang w:val="fr-FR"/>
        </w:rPr>
        <w:t>28</w:t>
      </w:r>
      <w:r w:rsidRPr="00E222DC">
        <w:rPr>
          <w:rFonts w:ascii="Times New Roman" w:hAnsi="Times New Roman" w:cs="Times New Roman"/>
          <w:sz w:val="20"/>
          <w:szCs w:val="22"/>
          <w:lang w:val="fr-FR"/>
        </w:rPr>
        <w:t>, e20220073</w:t>
      </w:r>
      <w:r w:rsidRPr="00B94AF3">
        <w:rPr>
          <w:rFonts w:ascii="Times New Roman" w:hAnsi="Times New Roman" w:cs="Times New Roman"/>
          <w:i/>
          <w:iCs/>
          <w:sz w:val="20"/>
          <w:szCs w:val="22"/>
          <w:lang w:val="fr-FR"/>
        </w:rPr>
        <w:t>.</w:t>
      </w:r>
    </w:p>
    <w:p w14:paraId="7F6E7DFF" w14:textId="77777777" w:rsidR="009306D1" w:rsidRPr="0060416C" w:rsidRDefault="009306D1">
      <w:pPr>
        <w:rPr>
          <w:lang w:val="fr-FR"/>
        </w:rPr>
      </w:pPr>
    </w:p>
    <w:sectPr w:rsidR="009306D1" w:rsidRPr="0060416C" w:rsidSect="00AB6DEB">
      <w:pgSz w:w="11900" w:h="16840"/>
      <w:pgMar w:top="1418" w:right="1418" w:bottom="1418" w:left="1418" w:header="720" w:footer="72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D4228"/>
    <w:multiLevelType w:val="singleLevel"/>
    <w:tmpl w:val="9430724E"/>
    <w:lvl w:ilvl="0">
      <w:start w:val="1"/>
      <w:numFmt w:val="decimal"/>
      <w:lvlText w:val="%1."/>
      <w:lvlJc w:val="left"/>
      <w:pPr>
        <w:tabs>
          <w:tab w:val="num" w:pos="360"/>
        </w:tabs>
        <w:ind w:left="312" w:hanging="312"/>
      </w:pPr>
    </w:lvl>
  </w:abstractNum>
  <w:num w:numId="1" w16cid:durableId="147510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6C"/>
    <w:rsid w:val="0060416C"/>
    <w:rsid w:val="0061455C"/>
    <w:rsid w:val="007B7B6A"/>
    <w:rsid w:val="008C1AEB"/>
    <w:rsid w:val="009306D1"/>
    <w:rsid w:val="00A32423"/>
    <w:rsid w:val="00A85864"/>
    <w:rsid w:val="00AB6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91F7"/>
  <w15:chartTrackingRefBased/>
  <w15:docId w15:val="{85B02151-83FE-40A9-B511-10D4B8AD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6C"/>
    <w:pPr>
      <w:spacing w:after="0" w:line="240" w:lineRule="auto"/>
    </w:pPr>
    <w:rPr>
      <w:rFonts w:ascii="Helvetica" w:eastAsiaTheme="minorEastAsia" w:hAnsi="Helvetica"/>
      <w:kern w:val="0"/>
      <w:sz w:val="24"/>
      <w:szCs w:val="24"/>
      <w:lang w:val="en-US" w:eastAsia="ja-JP"/>
      <w14:ligatures w14:val="none"/>
    </w:rPr>
  </w:style>
  <w:style w:type="paragraph" w:styleId="Titre1">
    <w:name w:val="heading 1"/>
    <w:basedOn w:val="Normal"/>
    <w:next w:val="Normal"/>
    <w:link w:val="Titre1Car"/>
    <w:uiPriority w:val="9"/>
    <w:qFormat/>
    <w:rsid w:val="00604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04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041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041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041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0416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0416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0416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0416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41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041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041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041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041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041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041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041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0416C"/>
    <w:rPr>
      <w:rFonts w:eastAsiaTheme="majorEastAsia" w:cstheme="majorBidi"/>
      <w:color w:val="272727" w:themeColor="text1" w:themeTint="D8"/>
    </w:rPr>
  </w:style>
  <w:style w:type="paragraph" w:styleId="Titre">
    <w:name w:val="Title"/>
    <w:basedOn w:val="Normal"/>
    <w:next w:val="Normal"/>
    <w:link w:val="TitreCar"/>
    <w:uiPriority w:val="10"/>
    <w:qFormat/>
    <w:rsid w:val="0060416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41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041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041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0416C"/>
    <w:pPr>
      <w:spacing w:before="160"/>
      <w:jc w:val="center"/>
    </w:pPr>
    <w:rPr>
      <w:i/>
      <w:iCs/>
      <w:color w:val="404040" w:themeColor="text1" w:themeTint="BF"/>
    </w:rPr>
  </w:style>
  <w:style w:type="character" w:customStyle="1" w:styleId="CitationCar">
    <w:name w:val="Citation Car"/>
    <w:basedOn w:val="Policepardfaut"/>
    <w:link w:val="Citation"/>
    <w:uiPriority w:val="29"/>
    <w:rsid w:val="0060416C"/>
    <w:rPr>
      <w:i/>
      <w:iCs/>
      <w:color w:val="404040" w:themeColor="text1" w:themeTint="BF"/>
    </w:rPr>
  </w:style>
  <w:style w:type="paragraph" w:styleId="Paragraphedeliste">
    <w:name w:val="List Paragraph"/>
    <w:basedOn w:val="Normal"/>
    <w:uiPriority w:val="34"/>
    <w:qFormat/>
    <w:rsid w:val="0060416C"/>
    <w:pPr>
      <w:ind w:left="720"/>
      <w:contextualSpacing/>
    </w:pPr>
  </w:style>
  <w:style w:type="character" w:styleId="Accentuationintense">
    <w:name w:val="Intense Emphasis"/>
    <w:basedOn w:val="Policepardfaut"/>
    <w:uiPriority w:val="21"/>
    <w:qFormat/>
    <w:rsid w:val="0060416C"/>
    <w:rPr>
      <w:i/>
      <w:iCs/>
      <w:color w:val="0F4761" w:themeColor="accent1" w:themeShade="BF"/>
    </w:rPr>
  </w:style>
  <w:style w:type="paragraph" w:styleId="Citationintense">
    <w:name w:val="Intense Quote"/>
    <w:basedOn w:val="Normal"/>
    <w:next w:val="Normal"/>
    <w:link w:val="CitationintenseCar"/>
    <w:uiPriority w:val="30"/>
    <w:qFormat/>
    <w:rsid w:val="00604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0416C"/>
    <w:rPr>
      <w:i/>
      <w:iCs/>
      <w:color w:val="0F4761" w:themeColor="accent1" w:themeShade="BF"/>
    </w:rPr>
  </w:style>
  <w:style w:type="character" w:styleId="Rfrenceintense">
    <w:name w:val="Intense Reference"/>
    <w:basedOn w:val="Policepardfaut"/>
    <w:uiPriority w:val="32"/>
    <w:qFormat/>
    <w:rsid w:val="006041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428</Words>
  <Characters>2360</Characters>
  <Application>Microsoft Office Word</Application>
  <DocSecurity>0</DocSecurity>
  <Lines>19</Lines>
  <Paragraphs>5</Paragraphs>
  <ScaleCrop>false</ScaleCrop>
  <Company>Institu Curie</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 Daniela</dc:creator>
  <cp:keywords/>
  <dc:description/>
  <cp:lastModifiedBy>Verga Daniela</cp:lastModifiedBy>
  <cp:revision>3</cp:revision>
  <dcterms:created xsi:type="dcterms:W3CDTF">2024-04-28T13:44:00Z</dcterms:created>
  <dcterms:modified xsi:type="dcterms:W3CDTF">2024-04-28T13:57:00Z</dcterms:modified>
</cp:coreProperties>
</file>